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w:t>
                              </w:r>
                              <w:proofErr w:type="spellStart"/>
                              <w:r>
                                <w:rPr>
                                  <w:b/>
                                  <w:color w:val="FFFFFF"/>
                                  <w:sz w:val="52"/>
                                </w:rPr>
                                <w:t>BioNTech</w:t>
                              </w:r>
                              <w:proofErr w:type="spellEnd"/>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50FA8" w:rsidRDefault="003C0DE8">
                        <w:pPr>
                          <w:spacing w:line="693" w:lineRule="exact"/>
                          <w:rPr>
                            <w:b/>
                            <w:sz w:val="36"/>
                          </w:rPr>
                        </w:pPr>
                        <w:r>
                          <w:rPr>
                            <w:b/>
                            <w:color w:val="FFFFFF"/>
                            <w:sz w:val="52"/>
                          </w:rPr>
                          <w:t>Pfizer-</w:t>
                        </w:r>
                        <w:proofErr w:type="spellStart"/>
                        <w:r>
                          <w:rPr>
                            <w:b/>
                            <w:color w:val="FFFFFF"/>
                            <w:sz w:val="52"/>
                          </w:rPr>
                          <w:t>BioNTech</w:t>
                        </w:r>
                        <w:proofErr w:type="spellEnd"/>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w:t>
      </w:r>
      <w:proofErr w:type="gramStart"/>
      <w:r>
        <w:rPr>
          <w:b/>
          <w:color w:val="C45811"/>
          <w:spacing w:val="-7"/>
          <w:sz w:val="24"/>
        </w:rPr>
        <w:t>清楚)</w:t>
      </w:r>
      <w:proofErr w:type="gramEnd"/>
      <w:r>
        <w:rPr>
          <w:b/>
          <w:color w:val="C45811"/>
          <w:spacing w:val="-7"/>
          <w:sz w:val="24"/>
        </w:rPr>
        <w:t>、減少學校或群體活動被中斷的可能性。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w:t>
      </w:r>
      <w:proofErr w:type="spellStart"/>
      <w:r>
        <w:rPr>
          <w:b/>
          <w:color w:val="C45811"/>
          <w:sz w:val="24"/>
        </w:rPr>
        <w:t>BioNTech</w:t>
      </w:r>
      <w:proofErr w:type="spellEnd"/>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w:t>
      </w:r>
      <w:proofErr w:type="spellStart"/>
      <w:r>
        <w:rPr>
          <w:color w:val="C45811"/>
          <w:sz w:val="24"/>
        </w:rPr>
        <w:t>BioNTech</w:t>
      </w:r>
      <w:proofErr w:type="spellEnd"/>
      <w:r>
        <w:rPr>
          <w:color w:val="C45811"/>
          <w:spacing w:val="25"/>
          <w:sz w:val="24"/>
        </w:rPr>
        <w:t xml:space="preserve"> </w:t>
      </w:r>
      <w:r>
        <w:t>COVID-19</w:t>
      </w:r>
      <w:r>
        <w:rPr>
          <w:spacing w:val="2"/>
        </w:rPr>
        <w:t xml:space="preserve"> 疫苗是 </w:t>
      </w:r>
      <w:r>
        <w:t>SARS-CoV-2</w:t>
      </w:r>
      <w:r>
        <w:rPr>
          <w:spacing w:val="1"/>
        </w:rPr>
        <w:t xml:space="preserve"> 病</w:t>
      </w:r>
      <w:proofErr w:type="gramStart"/>
      <w:r>
        <w:rPr>
          <w:spacing w:val="1"/>
        </w:rPr>
        <w:t>毒棘</w:t>
      </w:r>
      <w:proofErr w:type="gramEnd"/>
      <w:r>
        <w:rPr>
          <w:spacing w:val="1"/>
        </w:rPr>
        <w:t xml:space="preserve">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proofErr w:type="gramStart"/>
      <w:r>
        <w:rPr>
          <w:b/>
          <w:w w:val="95"/>
          <w:sz w:val="20"/>
        </w:rPr>
        <w:t>接種劑次及</w:t>
      </w:r>
      <w:proofErr w:type="gramEnd"/>
      <w:r>
        <w:rPr>
          <w:b/>
          <w:w w:val="95"/>
          <w:sz w:val="20"/>
        </w:rPr>
        <w:t>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w:t>
      </w:r>
      <w:proofErr w:type="gramStart"/>
      <w:r>
        <w:rPr>
          <w:b/>
          <w:spacing w:val="-2"/>
          <w:sz w:val="20"/>
        </w:rPr>
        <w:t>週</w:t>
      </w:r>
      <w:proofErr w:type="gramEnd"/>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w:t>
      </w:r>
      <w:proofErr w:type="gramStart"/>
      <w:r>
        <w:rPr>
          <w:w w:val="95"/>
          <w:sz w:val="20"/>
        </w:rPr>
        <w:t>膜炎不良</w:t>
      </w:r>
      <w:proofErr w:type="gramEnd"/>
      <w:r>
        <w:rPr>
          <w:w w:val="95"/>
          <w:sz w:val="20"/>
        </w:rPr>
        <w:t>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ACIP 建議完成</w:t>
      </w:r>
      <w:proofErr w:type="gramStart"/>
      <w:r>
        <w:rPr>
          <w:b/>
          <w:sz w:val="20"/>
        </w:rPr>
        <w:t>基礎劑且無</w:t>
      </w:r>
      <w:proofErr w:type="gramEnd"/>
      <w:r>
        <w:rPr>
          <w:b/>
          <w:sz w:val="20"/>
        </w:rPr>
        <w:t xml:space="preserve">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w:t>
      </w:r>
      <w:proofErr w:type="gramStart"/>
      <w:r>
        <w:rPr>
          <w:b/>
          <w:color w:val="C45811"/>
          <w:spacing w:val="-2"/>
          <w:sz w:val="20"/>
        </w:rPr>
        <w:t>個</w:t>
      </w:r>
      <w:proofErr w:type="gramEnd"/>
      <w:r>
        <w:rPr>
          <w:b/>
          <w:color w:val="C45811"/>
          <w:spacing w:val="-2"/>
          <w:sz w:val="20"/>
        </w:rPr>
        <w:t>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w:t>
      </w:r>
      <w:proofErr w:type="gramStart"/>
      <w:r>
        <w:rPr>
          <w:b/>
          <w:color w:val="C45811"/>
          <w:spacing w:val="2"/>
          <w:sz w:val="20"/>
        </w:rPr>
        <w:t>追加劑每劑</w:t>
      </w:r>
      <w:proofErr w:type="gramEnd"/>
      <w:r>
        <w:rPr>
          <w:b/>
          <w:color w:val="C45811"/>
          <w:spacing w:val="2"/>
          <w:sz w:val="20"/>
        </w:rPr>
        <w:t xml:space="preserve">為 </w:t>
      </w:r>
      <w:r>
        <w:rPr>
          <w:b/>
          <w:color w:val="C45811"/>
          <w:sz w:val="20"/>
        </w:rPr>
        <w:t>0.3</w:t>
      </w:r>
      <w:r>
        <w:rPr>
          <w:b/>
          <w:color w:val="C45811"/>
          <w:spacing w:val="30"/>
          <w:sz w:val="20"/>
        </w:rPr>
        <w:t xml:space="preserve"> </w:t>
      </w:r>
      <w:r>
        <w:rPr>
          <w:b/>
          <w:color w:val="C45811"/>
          <w:sz w:val="20"/>
        </w:rPr>
        <w:t>mL</w:t>
      </w:r>
      <w:r>
        <w:rPr>
          <w:b/>
          <w:color w:val="C45811"/>
          <w:spacing w:val="3"/>
          <w:sz w:val="20"/>
        </w:rPr>
        <w:t>(成人劑</w:t>
      </w:r>
      <w:proofErr w:type="gramStart"/>
      <w:r>
        <w:rPr>
          <w:b/>
          <w:color w:val="C45811"/>
          <w:spacing w:val="3"/>
          <w:sz w:val="20"/>
        </w:rPr>
        <w:t>型紫</w:t>
      </w:r>
      <w:proofErr w:type="gramEnd"/>
      <w:r>
        <w:rPr>
          <w:b/>
          <w:color w:val="C45811"/>
          <w:spacing w:val="3"/>
          <w:sz w:val="20"/>
        </w:rPr>
        <w:t xml:space="preserve">蓋包裝稀釋後使用，疫苗含量為 </w:t>
      </w:r>
      <w:r>
        <w:rPr>
          <w:b/>
          <w:color w:val="C45811"/>
          <w:sz w:val="20"/>
        </w:rPr>
        <w:t>30</w:t>
      </w:r>
      <w:r>
        <w:rPr>
          <w:b/>
          <w:color w:val="C45811"/>
          <w:spacing w:val="33"/>
          <w:sz w:val="20"/>
        </w:rPr>
        <w:t xml:space="preserve"> </w:t>
      </w:r>
      <w:proofErr w:type="spellStart"/>
      <w:r>
        <w:rPr>
          <w:b/>
          <w:color w:val="C45811"/>
          <w:sz w:val="20"/>
        </w:rPr>
        <w:t>μg</w:t>
      </w:r>
      <w:proofErr w:type="spellEnd"/>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w:t>
      </w:r>
      <w:proofErr w:type="gramStart"/>
      <w:r>
        <w:rPr>
          <w:b/>
          <w:color w:val="C45811"/>
          <w:spacing w:val="-2"/>
          <w:sz w:val="20"/>
        </w:rPr>
        <w:t>基礎劑每劑</w:t>
      </w:r>
      <w:proofErr w:type="gramEnd"/>
      <w:r>
        <w:rPr>
          <w:b/>
          <w:color w:val="C45811"/>
          <w:spacing w:val="-2"/>
          <w:sz w:val="20"/>
        </w:rPr>
        <w:t xml:space="preserve">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proofErr w:type="spellStart"/>
      <w:r>
        <w:rPr>
          <w:b/>
          <w:color w:val="C45811"/>
          <w:sz w:val="20"/>
        </w:rPr>
        <w:t>μg</w:t>
      </w:r>
      <w:proofErr w:type="spellEnd"/>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w:t>
      </w:r>
      <w:proofErr w:type="gramStart"/>
      <w:r>
        <w:rPr>
          <w:spacing w:val="-3"/>
          <w:sz w:val="20"/>
        </w:rPr>
        <w:t>罹</w:t>
      </w:r>
      <w:proofErr w:type="gramEnd"/>
      <w:r>
        <w:rPr>
          <w:spacing w:val="-3"/>
          <w:sz w:val="20"/>
        </w:rPr>
        <w:t xml:space="preserve">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w:t>
      </w:r>
      <w:proofErr w:type="gramStart"/>
      <w:r>
        <w:rPr>
          <w:b/>
          <w:w w:val="95"/>
          <w:sz w:val="20"/>
        </w:rPr>
        <w:t>疫苗劑次曾發生</w:t>
      </w:r>
      <w:proofErr w:type="gramEnd"/>
      <w:r>
        <w:rPr>
          <w:b/>
          <w:w w:val="95"/>
          <w:sz w:val="20"/>
        </w:rPr>
        <w:t>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w:t>
      </w:r>
      <w:proofErr w:type="gramStart"/>
      <w:r>
        <w:rPr>
          <w:spacing w:val="1"/>
          <w:sz w:val="20"/>
        </w:rPr>
        <w:t>罹</w:t>
      </w:r>
      <w:proofErr w:type="gramEnd"/>
      <w:r>
        <w:rPr>
          <w:spacing w:val="1"/>
          <w:sz w:val="20"/>
        </w:rPr>
        <w:t xml:space="preserve">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w:t>
      </w:r>
      <w:proofErr w:type="gramStart"/>
      <w:r>
        <w:rPr>
          <w:b/>
          <w:w w:val="95"/>
          <w:sz w:val="20"/>
        </w:rPr>
        <w:t>植入</w:t>
      </w:r>
      <w:proofErr w:type="gramEnd"/>
      <w:r>
        <w:rPr>
          <w:b/>
          <w:w w:val="95"/>
          <w:sz w:val="20"/>
        </w:rPr>
        <w:t>式心臟裝置者。對於這些病患，接種</w:t>
      </w:r>
      <w:r>
        <w:rPr>
          <w:b/>
          <w:sz w:val="20"/>
        </w:rPr>
        <w:t>mRNA 疫苗不建議採取額外特別的措施。而目前沒有資料顯示有心血管疾病史者接種 mRNA 疫苗後發生心肌炎或心</w:t>
      </w:r>
      <w:proofErr w:type="gramStart"/>
      <w:r>
        <w:rPr>
          <w:b/>
          <w:sz w:val="20"/>
        </w:rPr>
        <w:t>包膜炎的</w:t>
      </w:r>
      <w:proofErr w:type="gramEnd"/>
      <w:r>
        <w:rPr>
          <w:b/>
          <w:sz w:val="20"/>
        </w:rPr>
        <w:t>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w:t>
      </w:r>
      <w:proofErr w:type="gramStart"/>
      <w:r>
        <w:rPr>
          <w:b/>
          <w:sz w:val="20"/>
        </w:rPr>
        <w:t>包膜炎</w:t>
      </w:r>
      <w:proofErr w:type="gramEnd"/>
      <w:r>
        <w:rPr>
          <w:b/>
          <w:sz w:val="20"/>
        </w:rPr>
        <w:t>、心內膜炎)、急性風濕熱、12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w:t>
      </w:r>
      <w:proofErr w:type="gramStart"/>
      <w:r>
        <w:rPr>
          <w:b/>
          <w:spacing w:val="7"/>
          <w:sz w:val="20"/>
        </w:rPr>
        <w:t>疫</w:t>
      </w:r>
      <w:proofErr w:type="gramEnd"/>
      <w:r>
        <w:rPr>
          <w:b/>
          <w:spacing w:val="7"/>
          <w:sz w:val="20"/>
        </w:rPr>
        <w:t xml:space="preserve"> 苗 接 種 後 心 肌 炎 / 心 包 膜 炎 指 引 」 提 供 臨 床 處 置 與 建 議 。</w:t>
      </w:r>
    </w:p>
    <w:p w:rsidR="00850FA8" w:rsidRDefault="00B12C87">
      <w:pPr>
        <w:spacing w:line="315" w:lineRule="exact"/>
        <w:ind w:left="1111"/>
        <w:rPr>
          <w:b/>
          <w:sz w:val="20"/>
        </w:rPr>
      </w:pPr>
      <w:hyperlink r:id="rId5">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w:t>
      </w:r>
      <w:proofErr w:type="gramStart"/>
      <w:r>
        <w:rPr>
          <w:b/>
          <w:w w:val="95"/>
          <w:sz w:val="20"/>
        </w:rPr>
        <w:t>附近稍</w:t>
      </w:r>
      <w:proofErr w:type="gramEnd"/>
      <w:r>
        <w:rPr>
          <w:b/>
          <w:w w:val="95"/>
          <w:sz w:val="20"/>
        </w:rPr>
        <w:t>作</w:t>
      </w:r>
      <w:proofErr w:type="gramStart"/>
      <w:r>
        <w:rPr>
          <w:b/>
          <w:w w:val="95"/>
          <w:sz w:val="20"/>
        </w:rPr>
        <w:t>休息留</w:t>
      </w:r>
      <w:proofErr w:type="gramEnd"/>
      <w:r>
        <w:rPr>
          <w:b/>
          <w:w w:val="95"/>
          <w:sz w:val="20"/>
        </w:rPr>
        <w:t>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proofErr w:type="gramStart"/>
      <w:r>
        <w:rPr>
          <w:spacing w:val="-3"/>
          <w:sz w:val="20"/>
        </w:rPr>
        <w:t>附近留觀至</w:t>
      </w:r>
      <w:proofErr w:type="gramEnd"/>
      <w:r>
        <w:rPr>
          <w:spacing w:val="-3"/>
          <w:sz w:val="20"/>
        </w:rPr>
        <w:t xml:space="preserve">少 </w:t>
      </w:r>
      <w:r>
        <w:rPr>
          <w:spacing w:val="-1"/>
          <w:sz w:val="20"/>
        </w:rPr>
        <w:t>30</w:t>
      </w:r>
      <w:r>
        <w:rPr>
          <w:spacing w:val="-5"/>
          <w:sz w:val="20"/>
        </w:rPr>
        <w:t xml:space="preserve"> 分鐘。使用抗血小板或抗凝血藥物或凝血功能</w:t>
      </w:r>
      <w:proofErr w:type="gramStart"/>
      <w:r>
        <w:rPr>
          <w:spacing w:val="-5"/>
          <w:sz w:val="20"/>
        </w:rPr>
        <w:t>異常者施打</w:t>
      </w:r>
      <w:proofErr w:type="gramEnd"/>
      <w:r>
        <w:rPr>
          <w:spacing w:val="-5"/>
          <w:sz w:val="20"/>
        </w:rPr>
        <w:t xml:space="preserve">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jc w:val="both"/>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w:t>
      </w:r>
      <w:proofErr w:type="gramStart"/>
      <w:r>
        <w:rPr>
          <w:w w:val="95"/>
          <w:sz w:val="20"/>
        </w:rPr>
        <w:t>因性疾</w:t>
      </w:r>
      <w:proofErr w:type="gramEnd"/>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w:t>
      </w:r>
      <w:proofErr w:type="gramStart"/>
      <w:r>
        <w:rPr>
          <w:b/>
          <w:w w:val="95"/>
          <w:sz w:val="20"/>
        </w:rPr>
        <w:t>採</w:t>
      </w:r>
      <w:proofErr w:type="gramEnd"/>
      <w:r>
        <w:rPr>
          <w:b/>
          <w:w w:val="95"/>
          <w:sz w:val="20"/>
        </w:rPr>
        <w:t>坐姿或</w:t>
      </w:r>
      <w:proofErr w:type="gramStart"/>
      <w:r>
        <w:rPr>
          <w:b/>
          <w:w w:val="95"/>
          <w:sz w:val="20"/>
        </w:rPr>
        <w:t>平躺並安</w:t>
      </w:r>
      <w:proofErr w:type="gramEnd"/>
      <w:r>
        <w:rPr>
          <w:b/>
          <w:w w:val="95"/>
          <w:sz w:val="20"/>
        </w:rPr>
        <w:t>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jc w:val="both"/>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w:t>
      </w:r>
      <w:proofErr w:type="gramStart"/>
      <w:r>
        <w:rPr>
          <w:b/>
          <w:color w:val="C45811"/>
          <w:w w:val="95"/>
          <w:sz w:val="20"/>
        </w:rPr>
        <w:t>疼痛、</w:t>
      </w:r>
      <w:proofErr w:type="gramEnd"/>
      <w:r>
        <w:rPr>
          <w:b/>
          <w:color w:val="C45811"/>
          <w:w w:val="95"/>
          <w:sz w:val="20"/>
        </w:rPr>
        <w:t>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w:t>
      </w:r>
      <w:proofErr w:type="gramStart"/>
      <w:r>
        <w:rPr>
          <w:w w:val="95"/>
          <w:sz w:val="20"/>
        </w:rPr>
        <w:t>包膜炎</w:t>
      </w:r>
      <w:proofErr w:type="gramEnd"/>
      <w:r>
        <w:rPr>
          <w:w w:val="95"/>
          <w:sz w:val="20"/>
        </w:rPr>
        <w:t>，依據疫苗上市安全性監測與觀察性研究結果，WHO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proofErr w:type="gramStart"/>
      <w:r>
        <w:rPr>
          <w:b/>
          <w:color w:val="C00000"/>
          <w:spacing w:val="-1"/>
          <w:w w:val="99"/>
          <w:sz w:val="20"/>
        </w:rPr>
        <w:t>包膜炎</w:t>
      </w:r>
      <w:proofErr w:type="gramEnd"/>
      <w:r>
        <w:rPr>
          <w:b/>
          <w:color w:val="C00000"/>
          <w:spacing w:val="-1"/>
          <w:w w:val="99"/>
          <w:sz w:val="20"/>
        </w:rPr>
        <w:t>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w:t>
      </w:r>
      <w:proofErr w:type="gramStart"/>
      <w:r>
        <w:rPr>
          <w:b/>
          <w:spacing w:val="-1"/>
          <w:sz w:val="20"/>
        </w:rPr>
        <w:t>包膜炎</w:t>
      </w:r>
      <w:proofErr w:type="gramEnd"/>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w:t>
      </w:r>
      <w:proofErr w:type="gramStart"/>
      <w:r>
        <w:rPr>
          <w:b/>
          <w:w w:val="95"/>
          <w:sz w:val="20"/>
        </w:rPr>
        <w:t>包膜炎的</w:t>
      </w:r>
      <w:proofErr w:type="gramEnd"/>
      <w:r>
        <w:rPr>
          <w:b/>
          <w:w w:val="95"/>
          <w:sz w:val="20"/>
        </w:rPr>
        <w:t>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w:t>
      </w:r>
      <w:proofErr w:type="gramStart"/>
      <w:r>
        <w:rPr>
          <w:b/>
          <w:w w:val="95"/>
          <w:sz w:val="20"/>
        </w:rPr>
        <w:t>包膜炎發生</w:t>
      </w:r>
      <w:proofErr w:type="gramEnd"/>
      <w:r>
        <w:rPr>
          <w:b/>
          <w:w w:val="95"/>
          <w:sz w:val="20"/>
        </w:rPr>
        <w:t>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w:t>
      </w:r>
      <w:proofErr w:type="gramStart"/>
      <w:r>
        <w:rPr>
          <w:b/>
          <w:spacing w:val="-2"/>
          <w:sz w:val="20"/>
        </w:rPr>
        <w:t>疫</w:t>
      </w:r>
      <w:proofErr w:type="gramEnd"/>
      <w:r>
        <w:rPr>
          <w:b/>
          <w:spacing w:val="-2"/>
          <w:sz w:val="20"/>
        </w:rPr>
        <w:t>情流行時，相較疫苗接種產生之</w:t>
      </w:r>
      <w:r>
        <w:rPr>
          <w:b/>
          <w:w w:val="95"/>
          <w:sz w:val="20"/>
        </w:rPr>
        <w:t>罕見心肌炎或心</w:t>
      </w:r>
      <w:proofErr w:type="gramStart"/>
      <w:r>
        <w:rPr>
          <w:b/>
          <w:w w:val="95"/>
          <w:sz w:val="20"/>
        </w:rPr>
        <w:t>包膜炎風</w:t>
      </w:r>
      <w:proofErr w:type="gramEnd"/>
      <w:r>
        <w:rPr>
          <w:b/>
          <w:w w:val="95"/>
          <w:sz w:val="20"/>
        </w:rPr>
        <w:t>險，須一起衡量。因應</w:t>
      </w:r>
      <w:r>
        <w:rPr>
          <w:b/>
          <w:spacing w:val="127"/>
          <w:sz w:val="20"/>
        </w:rPr>
        <w:t xml:space="preserve"> </w:t>
      </w:r>
      <w:r>
        <w:rPr>
          <w:b/>
          <w:w w:val="95"/>
          <w:sz w:val="20"/>
        </w:rPr>
        <w:t>COVID-19</w:t>
      </w:r>
      <w:r>
        <w:rPr>
          <w:b/>
          <w:spacing w:val="118"/>
          <w:sz w:val="20"/>
        </w:rPr>
        <w:t xml:space="preserve"> </w:t>
      </w:r>
      <w:r>
        <w:rPr>
          <w:b/>
          <w:w w:val="95"/>
          <w:sz w:val="20"/>
        </w:rPr>
        <w:t>流行</w:t>
      </w:r>
      <w:proofErr w:type="gramStart"/>
      <w:r>
        <w:rPr>
          <w:b/>
          <w:w w:val="95"/>
          <w:sz w:val="20"/>
        </w:rPr>
        <w:t>疫情及</w:t>
      </w:r>
      <w:proofErr w:type="gramEnd"/>
      <w:r>
        <w:rPr>
          <w:b/>
          <w:w w:val="95"/>
          <w:sz w:val="20"/>
        </w:rPr>
        <w:t>因應變異株威脅，針對青少年族群已接種</w:t>
      </w:r>
      <w:r>
        <w:rPr>
          <w:b/>
          <w:sz w:val="20"/>
        </w:rPr>
        <w:t>第一劑疫苗且無嚴重不良反應者，可完成第二劑接種。唯個人可依照其潛在疾病、是否</w:t>
      </w:r>
      <w:proofErr w:type="gramStart"/>
      <w:r>
        <w:rPr>
          <w:b/>
          <w:sz w:val="20"/>
        </w:rPr>
        <w:t>具重症高</w:t>
      </w:r>
      <w:proofErr w:type="gramEnd"/>
      <w:r>
        <w:rPr>
          <w:b/>
          <w:sz w:val="20"/>
        </w:rPr>
        <w:t>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w:t>
      </w:r>
      <w:proofErr w:type="gramStart"/>
      <w:r>
        <w:rPr>
          <w:w w:val="95"/>
          <w:sz w:val="20"/>
        </w:rPr>
        <w:t>包膜炎分析</w:t>
      </w:r>
      <w:proofErr w:type="gramEnd"/>
      <w:r>
        <w:rPr>
          <w:w w:val="95"/>
          <w:sz w:val="20"/>
        </w:rPr>
        <w:t>結果與國際間安全監視所觀察到之趨勢相似，美國、加拿大、日本針對心肌炎/心包</w:t>
      </w:r>
      <w:r>
        <w:rPr>
          <w:spacing w:val="63"/>
          <w:sz w:val="20"/>
        </w:rPr>
        <w:t xml:space="preserve">  </w:t>
      </w:r>
      <w:r>
        <w:rPr>
          <w:spacing w:val="64"/>
          <w:sz w:val="20"/>
        </w:rPr>
        <w:t xml:space="preserve"> </w:t>
      </w:r>
      <w:proofErr w:type="gramStart"/>
      <w:r>
        <w:rPr>
          <w:sz w:val="20"/>
        </w:rPr>
        <w:t>膜炎</w:t>
      </w:r>
      <w:proofErr w:type="gramEnd"/>
      <w:r>
        <w:rPr>
          <w:sz w:val="20"/>
        </w:rPr>
        <w:t>所進行之通報值與背景值分析，亦皆於接種 mRNA</w:t>
      </w:r>
      <w:r>
        <w:rPr>
          <w:spacing w:val="18"/>
          <w:sz w:val="20"/>
        </w:rPr>
        <w:t xml:space="preserve"> 疫苗 (</w:t>
      </w:r>
      <w:proofErr w:type="spellStart"/>
      <w:r>
        <w:rPr>
          <w:sz w:val="20"/>
        </w:rPr>
        <w:t>Moderna</w:t>
      </w:r>
      <w:proofErr w:type="spellEnd"/>
      <w:r>
        <w:rPr>
          <w:spacing w:val="31"/>
          <w:sz w:val="20"/>
        </w:rPr>
        <w:t xml:space="preserve"> 與 </w:t>
      </w:r>
      <w:proofErr w:type="spellStart"/>
      <w:r>
        <w:rPr>
          <w:sz w:val="20"/>
        </w:rPr>
        <w:t>BioNTech</w:t>
      </w:r>
      <w:proofErr w:type="spellEnd"/>
      <w:r>
        <w:rPr>
          <w:spacing w:val="5"/>
          <w:sz w:val="20"/>
        </w:rPr>
        <w:t xml:space="preserve"> 廠牌) 之年輕族群觀察</w:t>
      </w:r>
      <w:r>
        <w:rPr>
          <w:sz w:val="20"/>
        </w:rPr>
        <w:t>到心肌炎/心</w:t>
      </w:r>
      <w:proofErr w:type="gramStart"/>
      <w:r>
        <w:rPr>
          <w:sz w:val="20"/>
        </w:rPr>
        <w:t>包膜炎</w:t>
      </w:r>
      <w:proofErr w:type="gramEnd"/>
      <w:r>
        <w:rPr>
          <w:sz w:val="20"/>
        </w:rPr>
        <w:t>之通報值高於背景值，且以接種</w:t>
      </w:r>
      <w:proofErr w:type="gramStart"/>
      <w:r>
        <w:rPr>
          <w:sz w:val="20"/>
        </w:rPr>
        <w:t>第二劑者為</w:t>
      </w:r>
      <w:proofErr w:type="gramEnd"/>
      <w:r>
        <w:rPr>
          <w:sz w:val="20"/>
        </w:rPr>
        <w:t xml:space="preserve">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proofErr w:type="spellStart"/>
      <w:r>
        <w:rPr>
          <w:w w:val="95"/>
          <w:sz w:val="20"/>
        </w:rPr>
        <w:t>Moderna</w:t>
      </w:r>
      <w:proofErr w:type="spellEnd"/>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w:t>
      </w:r>
      <w:proofErr w:type="gramStart"/>
      <w:r>
        <w:rPr>
          <w:spacing w:val="-3"/>
          <w:w w:val="95"/>
          <w:sz w:val="20"/>
        </w:rPr>
        <w:t>包膜炎風險</w:t>
      </w:r>
      <w:proofErr w:type="gramEnd"/>
      <w:r>
        <w:rPr>
          <w:spacing w:val="-3"/>
          <w:w w:val="95"/>
          <w:sz w:val="20"/>
        </w:rPr>
        <w:t>，唯針對</w:t>
      </w:r>
      <w:r>
        <w:rPr>
          <w:spacing w:val="59"/>
          <w:sz w:val="20"/>
        </w:rPr>
        <w:t xml:space="preserve"> </w:t>
      </w:r>
      <w:proofErr w:type="spellStart"/>
      <w:r>
        <w:rPr>
          <w:w w:val="95"/>
          <w:sz w:val="20"/>
        </w:rPr>
        <w:t>Moderna</w:t>
      </w:r>
      <w:proofErr w:type="spellEnd"/>
      <w:r>
        <w:rPr>
          <w:spacing w:val="1"/>
          <w:w w:val="95"/>
          <w:sz w:val="20"/>
        </w:rPr>
        <w:t xml:space="preserve"> </w:t>
      </w:r>
      <w:r>
        <w:rPr>
          <w:spacing w:val="12"/>
          <w:sz w:val="20"/>
        </w:rPr>
        <w:t xml:space="preserve">疫苗和 </w:t>
      </w:r>
      <w:proofErr w:type="spellStart"/>
      <w:r>
        <w:rPr>
          <w:sz w:val="20"/>
        </w:rPr>
        <w:t>BioNTech</w:t>
      </w:r>
      <w:proofErr w:type="spellEnd"/>
      <w:r>
        <w:rPr>
          <w:sz w:val="20"/>
        </w:rPr>
        <w:t xml:space="preserve">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w:t>
      </w:r>
      <w:proofErr w:type="spellStart"/>
      <w:r>
        <w:rPr>
          <w:sz w:val="20"/>
        </w:rPr>
        <w:t>BioNTech</w:t>
      </w:r>
      <w:proofErr w:type="spellEnd"/>
      <w:r>
        <w:rPr>
          <w:sz w:val="20"/>
        </w:rPr>
        <w:t xml:space="preserve"> 疫苗後發生心肌炎與心</w:t>
      </w:r>
      <w:proofErr w:type="gramStart"/>
      <w:r>
        <w:rPr>
          <w:sz w:val="20"/>
        </w:rPr>
        <w:t>包膜炎之</w:t>
      </w:r>
      <w:proofErr w:type="gramEnd"/>
      <w:r>
        <w:rPr>
          <w:sz w:val="20"/>
        </w:rPr>
        <w:t>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童接種後</w:t>
      </w:r>
      <w:proofErr w:type="gramStart"/>
      <w:r>
        <w:rPr>
          <w:spacing w:val="-1"/>
          <w:sz w:val="20"/>
        </w:rPr>
        <w:t>不分劑次通報</w:t>
      </w:r>
      <w:proofErr w:type="gramEnd"/>
      <w:r>
        <w:rPr>
          <w:spacing w:val="-1"/>
          <w:sz w:val="20"/>
        </w:rPr>
        <w:t xml:space="preserve">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w:t>
      </w:r>
      <w:proofErr w:type="spellStart"/>
      <w:r>
        <w:rPr>
          <w:spacing w:val="-1"/>
          <w:sz w:val="20"/>
        </w:rPr>
        <w:t>BioNTech</w:t>
      </w:r>
      <w:proofErr w:type="spellEnd"/>
      <w:r>
        <w:rPr>
          <w:spacing w:val="-4"/>
          <w:sz w:val="20"/>
        </w:rPr>
        <w:t xml:space="preserve"> 疫苗後發生心肌炎與心</w:t>
      </w:r>
      <w:proofErr w:type="gramStart"/>
      <w:r>
        <w:rPr>
          <w:spacing w:val="-4"/>
          <w:sz w:val="20"/>
        </w:rPr>
        <w:t>包膜炎之</w:t>
      </w:r>
      <w:proofErr w:type="gramEnd"/>
      <w:r>
        <w:rPr>
          <w:spacing w:val="-4"/>
          <w:sz w:val="20"/>
        </w:rPr>
        <w:t xml:space="preserve">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proofErr w:type="spellStart"/>
      <w:r>
        <w:rPr>
          <w:w w:val="95"/>
        </w:rPr>
        <w:t>BioNTech</w:t>
      </w:r>
      <w:proofErr w:type="spellEnd"/>
      <w:r>
        <w:rPr>
          <w:w w:val="95"/>
        </w:rPr>
        <w:t xml:space="preserve">  疫苗後之心肌炎與心</w:t>
      </w:r>
      <w:proofErr w:type="gramStart"/>
      <w:r>
        <w:rPr>
          <w:w w:val="95"/>
        </w:rPr>
        <w:t>包膜炎通報</w:t>
      </w:r>
      <w:proofErr w:type="gramEnd"/>
      <w:r>
        <w:rPr>
          <w:w w:val="95"/>
        </w:rPr>
        <w:t>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proofErr w:type="spellStart"/>
      <w:r>
        <w:rPr>
          <w:w w:val="95"/>
        </w:rPr>
        <w:t>BioNTech</w:t>
      </w:r>
      <w:proofErr w:type="spellEnd"/>
      <w:r>
        <w:rPr>
          <w:w w:val="95"/>
        </w:rPr>
        <w:t xml:space="preserve"> 疫苗後之心肌炎與心</w:t>
      </w:r>
      <w:proofErr w:type="gramStart"/>
      <w:r>
        <w:rPr>
          <w:w w:val="95"/>
        </w:rPr>
        <w:t>包膜炎通</w:t>
      </w:r>
      <w:r>
        <w:rPr>
          <w:spacing w:val="3"/>
          <w:w w:val="95"/>
        </w:rPr>
        <w:t>報</w:t>
      </w:r>
      <w:proofErr w:type="gramEnd"/>
      <w:r>
        <w:rPr>
          <w:spacing w:val="3"/>
          <w:w w:val="95"/>
        </w:rPr>
        <w:t>率，</w:t>
      </w:r>
      <w:proofErr w:type="gramStart"/>
      <w:r>
        <w:rPr>
          <w:spacing w:val="3"/>
          <w:w w:val="95"/>
        </w:rPr>
        <w:t>第一劑約每百</w:t>
      </w:r>
      <w:proofErr w:type="gramEnd"/>
      <w:r>
        <w:rPr>
          <w:spacing w:val="3"/>
          <w:w w:val="95"/>
        </w:rPr>
        <w:t xml:space="preserve">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w:t>
      </w:r>
      <w:r>
        <w:rPr>
          <w:spacing w:val="53"/>
          <w:sz w:val="20"/>
        </w:rPr>
        <w:t xml:space="preserve"> </w:t>
      </w:r>
      <w:r>
        <w:rPr>
          <w:spacing w:val="157"/>
          <w:sz w:val="20"/>
        </w:rPr>
        <w:t xml:space="preserve"> </w:t>
      </w:r>
      <w:r>
        <w:rPr>
          <w:w w:val="95"/>
          <w:sz w:val="20"/>
        </w:rPr>
        <w:t>報意願、通報定義與資料審查等因素有關，通報率不等於實際發生率，不良事件之發生與疫苗是否具因果關係需</w:t>
      </w:r>
      <w:r>
        <w:rPr>
          <w:spacing w:val="49"/>
          <w:sz w:val="20"/>
        </w:rPr>
        <w:t xml:space="preserve">  </w:t>
      </w:r>
      <w:r>
        <w:rPr>
          <w:spacing w:val="50"/>
          <w:sz w:val="20"/>
        </w:rPr>
        <w:t xml:space="preserve"> </w:t>
      </w:r>
      <w:r>
        <w:rPr>
          <w:sz w:val="20"/>
        </w:rPr>
        <w:t>經專家審查與實證</w:t>
      </w:r>
      <w:proofErr w:type="gramStart"/>
      <w:r>
        <w:rPr>
          <w:sz w:val="20"/>
        </w:rPr>
        <w:t>釐</w:t>
      </w:r>
      <w:proofErr w:type="gramEnd"/>
      <w:r>
        <w:rPr>
          <w:sz w:val="20"/>
        </w:rPr>
        <w:t>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w:t>
      </w:r>
      <w:proofErr w:type="gramStart"/>
      <w:r>
        <w:rPr>
          <w:b/>
          <w:color w:val="C00000"/>
          <w:w w:val="95"/>
          <w:sz w:val="20"/>
        </w:rPr>
        <w:t>釐</w:t>
      </w:r>
      <w:proofErr w:type="gramEnd"/>
      <w:r>
        <w:rPr>
          <w:b/>
          <w:color w:val="C00000"/>
          <w:w w:val="95"/>
          <w:sz w:val="20"/>
        </w:rPr>
        <w:t>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 xml:space="preserve">種後嚴重不良事件 </w:t>
      </w:r>
      <w:r>
        <w:rPr>
          <w:spacing w:val="28"/>
          <w:w w:val="95"/>
          <w:sz w:val="20"/>
        </w:rPr>
        <w:t>， 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6">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完成疫苗接種後，雖可降低</w:t>
      </w:r>
      <w:proofErr w:type="gramStart"/>
      <w:r>
        <w:rPr>
          <w:spacing w:val="-1"/>
          <w:sz w:val="20"/>
        </w:rPr>
        <w:t>罹</w:t>
      </w:r>
      <w:proofErr w:type="gramEnd"/>
      <w:r>
        <w:rPr>
          <w:spacing w:val="-1"/>
          <w:sz w:val="20"/>
        </w:rPr>
        <w:t xml:space="preserve">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w:t>
      </w:r>
      <w:proofErr w:type="gramStart"/>
      <w:r>
        <w:rPr>
          <w:spacing w:val="-1"/>
          <w:sz w:val="18"/>
        </w:rPr>
        <w:t>｛</w:t>
      </w:r>
      <w:proofErr w:type="gramEnd"/>
      <w:r>
        <w:rPr>
          <w:spacing w:val="-1"/>
          <w:sz w:val="18"/>
        </w:rPr>
        <w:t>（4-羥丁基）</w:t>
      </w:r>
      <w:proofErr w:type="gramStart"/>
      <w:r>
        <w:rPr>
          <w:spacing w:val="-1"/>
          <w:sz w:val="18"/>
        </w:rPr>
        <w:t>氮</w:t>
      </w:r>
      <w:proofErr w:type="gramEnd"/>
      <w:r>
        <w:rPr>
          <w:spacing w:val="-1"/>
          <w:sz w:val="18"/>
        </w:rPr>
        <w:t>雜二基）雙（己烷-6,1-二基）雙（2-己基</w:t>
      </w:r>
      <w:proofErr w:type="gramStart"/>
      <w:r>
        <w:rPr>
          <w:spacing w:val="-1"/>
          <w:sz w:val="18"/>
        </w:rPr>
        <w:t>癸酸酯</w:t>
      </w:r>
      <w:proofErr w:type="gramEnd"/>
      <w:r>
        <w:rPr>
          <w:spacing w:val="-1"/>
          <w:sz w:val="18"/>
        </w:rPr>
        <w:t>）、2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w:t>
      </w:r>
      <w:proofErr w:type="spellStart"/>
      <w:r>
        <w:rPr>
          <w:sz w:val="18"/>
        </w:rPr>
        <w:t>sn</w:t>
      </w:r>
      <w:proofErr w:type="spellEnd"/>
      <w:r>
        <w:rPr>
          <w:sz w:val="18"/>
        </w:rPr>
        <w:t>-甘油-3-磷酸膽鹼｝和膽固醇、氯化鉀、磷酸二氫鉀、氯化鈉、二水磷酸二鈉、蔗糖、注射用水。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w:t>
      </w:r>
      <w:proofErr w:type="gramStart"/>
      <w:r>
        <w:rPr>
          <w:spacing w:val="-2"/>
          <w:sz w:val="18"/>
        </w:rPr>
        <w:t>｛</w:t>
      </w:r>
      <w:proofErr w:type="gramEnd"/>
      <w:r>
        <w:rPr>
          <w:spacing w:val="-2"/>
          <w:sz w:val="18"/>
        </w:rPr>
        <w:t>（4-羥丁基）</w:t>
      </w:r>
      <w:proofErr w:type="gramStart"/>
      <w:r>
        <w:rPr>
          <w:spacing w:val="-2"/>
          <w:sz w:val="18"/>
        </w:rPr>
        <w:t>氮</w:t>
      </w:r>
      <w:proofErr w:type="gramEnd"/>
      <w:r>
        <w:rPr>
          <w:spacing w:val="-2"/>
          <w:sz w:val="18"/>
        </w:rPr>
        <w:t>雜二基）雙（己烷-6,1-二基</w:t>
      </w:r>
      <w:r>
        <w:rPr>
          <w:spacing w:val="-1"/>
          <w:sz w:val="18"/>
        </w:rPr>
        <w:t>）雙（2-己基</w:t>
      </w:r>
      <w:proofErr w:type="gramStart"/>
      <w:r>
        <w:rPr>
          <w:spacing w:val="-1"/>
          <w:sz w:val="18"/>
        </w:rPr>
        <w:t>癸酸酯</w:t>
      </w:r>
      <w:proofErr w:type="gramEnd"/>
      <w:r>
        <w:rPr>
          <w:spacing w:val="-1"/>
          <w:sz w:val="18"/>
        </w:rPr>
        <w:t>）、2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w:t>
      </w:r>
      <w:proofErr w:type="spellStart"/>
      <w:r>
        <w:rPr>
          <w:sz w:val="18"/>
        </w:rPr>
        <w:t>sn</w:t>
      </w:r>
      <w:proofErr w:type="spellEnd"/>
      <w:r>
        <w:rPr>
          <w:sz w:val="18"/>
        </w:rPr>
        <w:t>-甘油-3-磷酸膽鹼｝和膽固醇、Trometamol、Trometamol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頭痛、腹瀉、關節痛、肌痛、注射部位</w:t>
            </w:r>
            <w:proofErr w:type="gramStart"/>
            <w:r>
              <w:rPr>
                <w:spacing w:val="-1"/>
                <w:sz w:val="18"/>
              </w:rPr>
              <w:t>疼痛、疲勞、</w:t>
            </w:r>
            <w:proofErr w:type="gramEnd"/>
            <w:r>
              <w:rPr>
                <w:spacing w:val="-1"/>
                <w:sz w:val="18"/>
              </w:rPr>
              <w:t xml:space="preserve">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、心</w:t>
            </w:r>
            <w:proofErr w:type="gramStart"/>
            <w:r>
              <w:rPr>
                <w:sz w:val="18"/>
              </w:rPr>
              <w:t>包膜炎</w:t>
            </w:r>
            <w:proofErr w:type="gramEnd"/>
            <w:r>
              <w:rPr>
                <w:sz w:val="18"/>
              </w:rPr>
              <w:t xml:space="preserve">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w:t>
      </w:r>
      <w:proofErr w:type="gramStart"/>
      <w:r>
        <w:rPr>
          <w:sz w:val="12"/>
        </w:rPr>
        <w:t>發紅常發生</w:t>
      </w:r>
      <w:proofErr w:type="gramEnd"/>
      <w:r>
        <w:rPr>
          <w:sz w:val="12"/>
        </w:rPr>
        <w:t>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w:t>
      </w:r>
      <w:proofErr w:type="gramStart"/>
      <w:r>
        <w:rPr>
          <w:sz w:val="12"/>
        </w:rPr>
        <w:t>期間，</w:t>
      </w:r>
      <w:proofErr w:type="gramEnd"/>
      <w:r>
        <w:rPr>
          <w:sz w:val="12"/>
        </w:rPr>
        <w:t>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w:t>
      </w:r>
      <w:proofErr w:type="gramStart"/>
      <w:r>
        <w:rPr>
          <w:spacing w:val="-2"/>
          <w:sz w:val="12"/>
        </w:rPr>
        <w:t>安慰劑組無急性</w:t>
      </w:r>
      <w:proofErr w:type="gramEnd"/>
      <w:r>
        <w:rPr>
          <w:spacing w:val="-2"/>
          <w:sz w:val="12"/>
        </w:rPr>
        <w:t>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2835" cy="532063"/>
                    </a:xfrm>
                    <a:prstGeom prst="rect">
                      <a:avLst/>
                    </a:prstGeom>
                  </pic:spPr>
                </pic:pic>
              </a:graphicData>
            </a:graphic>
          </wp:anchor>
        </w:drawing>
      </w:r>
      <w:r>
        <w:rPr>
          <w:sz w:val="10"/>
          <w:u w:val="single"/>
        </w:rPr>
        <w:t>https://</w:t>
      </w:r>
      <w:hyperlink r:id="rId8">
        <w:r>
          <w:rPr>
            <w:sz w:val="10"/>
            <w:u w:val="single"/>
          </w:rPr>
          <w:t>www.ema.europa.eu/en/documents/product-information/comirnaty-epar-product-information_en.pd</w:t>
        </w:r>
        <w:r>
          <w:rPr>
            <w:sz w:val="10"/>
          </w:rPr>
          <w:t>f</w:t>
        </w:r>
      </w:hyperlink>
    </w:p>
    <w:p w:rsidR="00850FA8" w:rsidRDefault="00B12C87">
      <w:pPr>
        <w:pStyle w:val="a4"/>
        <w:numPr>
          <w:ilvl w:val="0"/>
          <w:numId w:val="3"/>
        </w:numPr>
        <w:tabs>
          <w:tab w:val="left" w:pos="503"/>
          <w:tab w:val="left" w:pos="504"/>
        </w:tabs>
        <w:spacing w:line="120" w:lineRule="exact"/>
        <w:rPr>
          <w:sz w:val="10"/>
        </w:rPr>
      </w:pPr>
      <w:hyperlink r:id="rId9">
        <w:r w:rsidR="003C0DE8">
          <w:rPr>
            <w:sz w:val="10"/>
            <w:u w:val="single"/>
          </w:rPr>
          <w:t>https://www.who.int/news/item/27-10-2021-gacvs-statement-myocarditis-pericarditis-covid-19-mrna-vaccines-updated</w:t>
        </w:r>
      </w:hyperlink>
    </w:p>
    <w:p w:rsidR="00850FA8" w:rsidRDefault="00B12C87">
      <w:pPr>
        <w:pStyle w:val="a4"/>
        <w:numPr>
          <w:ilvl w:val="0"/>
          <w:numId w:val="3"/>
        </w:numPr>
        <w:tabs>
          <w:tab w:val="left" w:pos="503"/>
          <w:tab w:val="left" w:pos="504"/>
        </w:tabs>
        <w:spacing w:line="136" w:lineRule="exact"/>
        <w:rPr>
          <w:sz w:val="10"/>
        </w:rPr>
      </w:pPr>
      <w:hyperlink r:id="rId10">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1"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proofErr w:type="spellStart"/>
      <w:r>
        <w:rPr>
          <w:spacing w:val="-1"/>
          <w:sz w:val="10"/>
        </w:rPr>
        <w:t>Moderna</w:t>
      </w:r>
      <w:proofErr w:type="spellEnd"/>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2">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 xml:space="preserve">Memorandum Addendum to CBER’s review memorandum dated November 18,2021 entitled, “CBER Assessment of a booster dose of </w:t>
      </w:r>
      <w:proofErr w:type="spellStart"/>
      <w:r>
        <w:rPr>
          <w:sz w:val="10"/>
        </w:rPr>
        <w:t>Moderna</w:t>
      </w:r>
      <w:proofErr w:type="spellEnd"/>
      <w:r>
        <w:rPr>
          <w:sz w:val="10"/>
        </w:rPr>
        <w:t xml:space="preserve">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3">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4">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5">
        <w:r>
          <w:rPr>
            <w:sz w:val="10"/>
          </w:rPr>
          <w:t>www.cdc.gov/vaccines/acip/meetings/downloads/slides-2022-04-20/03-COVID-Klein-Shimabukuro-508.pdf</w:t>
        </w:r>
      </w:hyperlink>
    </w:p>
    <w:p w:rsidR="00850FA8" w:rsidRDefault="00B12C87">
      <w:pPr>
        <w:pStyle w:val="a4"/>
        <w:numPr>
          <w:ilvl w:val="0"/>
          <w:numId w:val="3"/>
        </w:numPr>
        <w:tabs>
          <w:tab w:val="left" w:pos="503"/>
          <w:tab w:val="left" w:pos="504"/>
        </w:tabs>
        <w:spacing w:line="120" w:lineRule="exact"/>
        <w:rPr>
          <w:sz w:val="10"/>
        </w:rPr>
      </w:pPr>
      <w:hyperlink r:id="rId16">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B12C87">
      <w:pPr>
        <w:pStyle w:val="a4"/>
        <w:numPr>
          <w:ilvl w:val="0"/>
          <w:numId w:val="3"/>
        </w:numPr>
        <w:tabs>
          <w:tab w:val="left" w:pos="503"/>
          <w:tab w:val="left" w:pos="504"/>
        </w:tabs>
        <w:spacing w:line="120" w:lineRule="exact"/>
        <w:rPr>
          <w:sz w:val="10"/>
        </w:rPr>
      </w:pPr>
      <w:hyperlink r:id="rId17">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18">
        <w:r>
          <w:rPr>
            <w:sz w:val="10"/>
            <w:u w:val="single"/>
          </w:rPr>
          <w:t>www.fda.gov/media/153714/download</w:t>
        </w:r>
      </w:hyperlink>
    </w:p>
    <w:p w:rsidR="00850FA8" w:rsidRDefault="003C0DE8" w:rsidP="00B12C87">
      <w:pPr>
        <w:spacing w:line="286" w:lineRule="exact"/>
        <w:ind w:left="146"/>
        <w:rPr>
          <w:rFonts w:ascii="Times New Roman" w:eastAsia="Times New Roman"/>
          <w:sz w:val="24"/>
        </w:rPr>
      </w:pPr>
      <w:r>
        <w:br w:type="column"/>
      </w:r>
      <w:bookmarkStart w:id="0" w:name="_GoBack"/>
      <w:bookmarkEnd w:id="0"/>
    </w:p>
    <w:sectPr w:rsidR="00850FA8">
      <w:type w:val="continuous"/>
      <w:pgSz w:w="11900" w:h="16850"/>
      <w:pgMar w:top="440" w:right="2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jc w:val="left"/>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jc w:val="left"/>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jc w:val="left"/>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jc w:val="left"/>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jc w:val="left"/>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A8"/>
    <w:rsid w:val="003936B8"/>
    <w:rsid w:val="003C0DE8"/>
    <w:rsid w:val="00402728"/>
    <w:rsid w:val="00412BAE"/>
    <w:rsid w:val="004B14CE"/>
    <w:rsid w:val="00850FA8"/>
    <w:rsid w:val="00961BBF"/>
    <w:rsid w:val="00A80EA7"/>
    <w:rsid w:val="00AC0A78"/>
    <w:rsid w:val="00B12C87"/>
    <w:rsid w:val="00BD4E7A"/>
    <w:rsid w:val="00F81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n/documents/product-information/comirnaty-epar-product-information_en.pdf" TargetMode="External"/><Relationship Id="rId13" Type="http://schemas.openxmlformats.org/officeDocument/2006/relationships/hyperlink" Target="http://www.cdc.gov/vaccines/acip/meetings/downloads/slides-2022-01-05/02-COVID-Su-508.pdf" TargetMode="External"/><Relationship Id="rId18" Type="http://schemas.openxmlformats.org/officeDocument/2006/relationships/hyperlink" Target="http://www.fda.gov/media/153714/downlo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da.gov/media/144637/download" TargetMode="External"/><Relationship Id="rId17" Type="http://schemas.openxmlformats.org/officeDocument/2006/relationships/hyperlink" Target="https://www.fda.gov/media/153713/download" TargetMode="External"/><Relationship Id="rId2" Type="http://schemas.openxmlformats.org/officeDocument/2006/relationships/styles" Target="styles.xml"/><Relationship Id="rId16" Type="http://schemas.openxmlformats.org/officeDocument/2006/relationships/hyperlink" Target="https://www.gov.il/BlobFolder/reports/vaccine-efficacy-safety-follow-up-committee/he/files_publications_corona_2903202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dc.gov.tw/Category/Page/3-aXlTBq4ggn5Hg2dveHBg)" TargetMode="External"/><Relationship Id="rId11" Type="http://schemas.openxmlformats.org/officeDocument/2006/relationships/hyperlink" Target="http://www.cdc.gov/vaccines/covid-19/clinical-considerations/interim-considerations-us.html" TargetMode="External"/><Relationship Id="rId5" Type="http://schemas.openxmlformats.org/officeDocument/2006/relationships/hyperlink" Target="https://www.cdc.gov.tw/File/Get/es0pwDYE2zL2Y3kCjxpdqQ" TargetMode="External"/><Relationship Id="rId15" Type="http://schemas.openxmlformats.org/officeDocument/2006/relationships/hyperlink" Target="http://www.cdc.gov/vaccines/acip/meetings/downloads/slides-2022-04-20/03-COVID-Klein-Shimabukuro-508.pdf" TargetMode="External"/><Relationship Id="rId10" Type="http://schemas.openxmlformats.org/officeDocument/2006/relationships/hyperlink" Target="https://www.gov.uk/government/publications/covid-19-the-green-book-chapter-14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news/item/27-10-2021-gacvs-statement-myocarditis-pericarditis-covid-19-mrna-vaccines-updated" TargetMode="External"/><Relationship Id="rId14" Type="http://schemas.openxmlformats.org/officeDocument/2006/relationships/hyperlink" Target="http://www.tga.gov.au/periodic/covid-19-vaccine-weekly-safety-report-05-05-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User</cp:lastModifiedBy>
  <cp:revision>2</cp:revision>
  <cp:lastPrinted>2022-05-17T01:54:00Z</cp:lastPrinted>
  <dcterms:created xsi:type="dcterms:W3CDTF">2022-05-27T02:56:00Z</dcterms:created>
  <dcterms:modified xsi:type="dcterms:W3CDTF">2022-05-27T02:56:00Z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